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206926" w:rsidP="00206926">
      <w:pPr>
        <w:spacing w:line="480" w:lineRule="auto"/>
        <w:jc w:val="center"/>
        <w:rPr>
          <w:rFonts w:ascii="Times New Roman" w:hAnsi="Times New Roman" w:cs="Times New Roman"/>
          <w:sz w:val="24"/>
          <w:szCs w:val="24"/>
        </w:rPr>
      </w:pPr>
    </w:p>
    <w:p w:rsidR="0080412D" w:rsidP="00206926">
      <w:pPr>
        <w:spacing w:line="480" w:lineRule="auto"/>
        <w:jc w:val="center"/>
        <w:rPr>
          <w:rFonts w:ascii="Times New Roman" w:hAnsi="Times New Roman" w:cs="Times New Roman"/>
          <w:sz w:val="24"/>
          <w:szCs w:val="24"/>
        </w:rPr>
      </w:pPr>
      <w:r>
        <w:rPr>
          <w:rFonts w:ascii="Times New Roman" w:hAnsi="Times New Roman" w:cs="Times New Roman"/>
          <w:sz w:val="24"/>
          <w:szCs w:val="24"/>
        </w:rPr>
        <w:t>Case Analysis</w:t>
      </w:r>
    </w:p>
    <w:p w:rsidR="00206926" w:rsidP="0020692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6926" w:rsidP="0020692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6926" w:rsidRPr="00206926" w:rsidP="00206926">
      <w:pPr>
        <w:rPr>
          <w:rFonts w:ascii="Times New Roman" w:hAnsi="Times New Roman" w:cs="Times New Roman"/>
          <w:sz w:val="24"/>
          <w:szCs w:val="24"/>
        </w:rPr>
      </w:pPr>
    </w:p>
    <w:p w:rsidR="00206926" w:rsidRPr="00206926" w:rsidP="00206926">
      <w:pPr>
        <w:rPr>
          <w:rFonts w:ascii="Times New Roman" w:hAnsi="Times New Roman" w:cs="Times New Roman"/>
          <w:sz w:val="24"/>
          <w:szCs w:val="24"/>
        </w:rPr>
      </w:pPr>
    </w:p>
    <w:p w:rsidR="00206926" w:rsidRPr="00206926" w:rsidP="00206926">
      <w:pPr>
        <w:rPr>
          <w:rFonts w:ascii="Times New Roman" w:hAnsi="Times New Roman" w:cs="Times New Roman"/>
          <w:sz w:val="24"/>
          <w:szCs w:val="24"/>
        </w:rPr>
      </w:pPr>
    </w:p>
    <w:p w:rsidR="00206926" w:rsidP="00206926">
      <w:pPr>
        <w:rPr>
          <w:rFonts w:ascii="Times New Roman" w:hAnsi="Times New Roman" w:cs="Times New Roman"/>
          <w:sz w:val="24"/>
          <w:szCs w:val="24"/>
        </w:rPr>
      </w:pPr>
    </w:p>
    <w:p w:rsidR="00206926" w:rsidP="00206926">
      <w:pPr>
        <w:rPr>
          <w:rFonts w:ascii="Times New Roman" w:hAnsi="Times New Roman" w:cs="Times New Roman"/>
          <w:sz w:val="24"/>
          <w:szCs w:val="24"/>
        </w:rPr>
      </w:pPr>
    </w:p>
    <w:p w:rsidR="00206926" w:rsidP="00206926">
      <w:pPr>
        <w:rPr>
          <w:rFonts w:ascii="Times New Roman" w:hAnsi="Times New Roman" w:cs="Times New Roman"/>
          <w:sz w:val="24"/>
          <w:szCs w:val="24"/>
        </w:rPr>
      </w:pPr>
    </w:p>
    <w:p w:rsidR="00206926" w:rsidP="005E395E">
      <w:pPr>
        <w:spacing w:line="480" w:lineRule="auto"/>
        <w:jc w:val="center"/>
        <w:rPr>
          <w:rFonts w:ascii="Times New Roman" w:hAnsi="Times New Roman" w:cs="Times New Roman"/>
          <w:sz w:val="24"/>
          <w:szCs w:val="24"/>
        </w:rPr>
      </w:pPr>
      <w:r>
        <w:rPr>
          <w:rFonts w:ascii="Times New Roman" w:hAnsi="Times New Roman" w:cs="Times New Roman"/>
          <w:sz w:val="24"/>
          <w:szCs w:val="24"/>
        </w:rPr>
        <w:t>Case Analysis</w:t>
      </w:r>
      <w:r w:rsidR="005E395E">
        <w:rPr>
          <w:rFonts w:ascii="Times New Roman" w:hAnsi="Times New Roman" w:cs="Times New Roman"/>
          <w:sz w:val="24"/>
          <w:szCs w:val="24"/>
        </w:rPr>
        <w:tab/>
      </w:r>
    </w:p>
    <w:p w:rsidR="005E395E" w:rsidP="005E395E">
      <w:pPr>
        <w:spacing w:line="480" w:lineRule="auto"/>
        <w:rPr>
          <w:rFonts w:ascii="Times New Roman" w:hAnsi="Times New Roman" w:cs="Times New Roman"/>
          <w:sz w:val="24"/>
          <w:szCs w:val="24"/>
        </w:rPr>
      </w:pPr>
      <w:r>
        <w:rPr>
          <w:rFonts w:ascii="Times New Roman" w:hAnsi="Times New Roman" w:cs="Times New Roman"/>
          <w:sz w:val="24"/>
          <w:szCs w:val="24"/>
        </w:rPr>
        <w:tab/>
        <w:t>Th</w:t>
      </w:r>
      <w:r w:rsidR="0070143F">
        <w:rPr>
          <w:rFonts w:ascii="Times New Roman" w:hAnsi="Times New Roman" w:cs="Times New Roman"/>
          <w:sz w:val="24"/>
          <w:szCs w:val="24"/>
        </w:rPr>
        <w:t>e judge did</w:t>
      </w:r>
      <w:r>
        <w:rPr>
          <w:rFonts w:ascii="Times New Roman" w:hAnsi="Times New Roman" w:cs="Times New Roman"/>
          <w:sz w:val="24"/>
          <w:szCs w:val="24"/>
        </w:rPr>
        <w:t xml:space="preserve"> interpretive approach</w:t>
      </w:r>
      <w:r w:rsidR="0070143F">
        <w:rPr>
          <w:rFonts w:ascii="Times New Roman" w:hAnsi="Times New Roman" w:cs="Times New Roman"/>
          <w:sz w:val="24"/>
          <w:szCs w:val="24"/>
        </w:rPr>
        <w:t xml:space="preserve"> rather than the semantic approach</w:t>
      </w:r>
      <w:r>
        <w:rPr>
          <w:rFonts w:ascii="Times New Roman" w:hAnsi="Times New Roman" w:cs="Times New Roman"/>
          <w:sz w:val="24"/>
          <w:szCs w:val="24"/>
        </w:rPr>
        <w:t xml:space="preserve"> to law since he used a scheme of principles to determine the legal rights and duties of the defendant. In this regard, he used the [HN1] N.Y Penal Law 260.10(1) that stipulates that a person can endanger the wellbeing of a child when he/ she acts in a manner that is likely to cause mental, physical, or moral harm to him/ her.</w:t>
      </w:r>
      <w:r w:rsidR="00561E69">
        <w:rPr>
          <w:rFonts w:ascii="Times New Roman" w:hAnsi="Times New Roman" w:cs="Times New Roman"/>
          <w:sz w:val="24"/>
          <w:szCs w:val="24"/>
        </w:rPr>
        <w:t xml:space="preserve"> Even though the actions were directed to the children’s mother, the statute provides that the actions not be directed to the child. Therefore, criminally liability diverges to ‘mere likelihood of harm” caused knowingly.</w:t>
      </w:r>
      <w:r>
        <w:rPr>
          <w:rFonts w:ascii="Times New Roman" w:hAnsi="Times New Roman" w:cs="Times New Roman"/>
          <w:sz w:val="24"/>
          <w:szCs w:val="24"/>
        </w:rPr>
        <w:t xml:space="preserve"> Also, he used [HN2] to determine that the offender was criminally liable since he disregarded the risk that his actions would likely cause injury to the children locked in the room during the whole incident.</w:t>
      </w:r>
      <w:r w:rsidR="00561E69">
        <w:rPr>
          <w:rFonts w:ascii="Times New Roman" w:hAnsi="Times New Roman" w:cs="Times New Roman"/>
          <w:sz w:val="24"/>
          <w:szCs w:val="24"/>
        </w:rPr>
        <w:t xml:space="preserve"> For example, the children could hear their mother scream as she was being assaulted; therefore, they were likely to be traumatized.</w:t>
      </w:r>
    </w:p>
    <w:p w:rsidR="00561E69" w:rsidP="005E395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Dworkin</w:t>
      </w:r>
      <w:r>
        <w:rPr>
          <w:rFonts w:ascii="Times New Roman" w:hAnsi="Times New Roman" w:cs="Times New Roman"/>
          <w:sz w:val="24"/>
          <w:szCs w:val="24"/>
        </w:rPr>
        <w:t xml:space="preserve"> would dispute the ruling since he did not be</w:t>
      </w:r>
      <w:r w:rsidR="0070143F">
        <w:rPr>
          <w:rFonts w:ascii="Times New Roman" w:hAnsi="Times New Roman" w:cs="Times New Roman"/>
          <w:sz w:val="24"/>
          <w:szCs w:val="24"/>
        </w:rPr>
        <w:t xml:space="preserve">lieve that judges should have discretion when it comes to making decisions of disputes that are not covered by existing rules. In this case, the statute did not </w:t>
      </w:r>
      <w:r w:rsidR="00943603">
        <w:rPr>
          <w:rFonts w:ascii="Times New Roman" w:hAnsi="Times New Roman" w:cs="Times New Roman"/>
          <w:sz w:val="24"/>
          <w:szCs w:val="24"/>
        </w:rPr>
        <w:t>include a</w:t>
      </w:r>
      <w:r w:rsidR="0070143F">
        <w:rPr>
          <w:rFonts w:ascii="Times New Roman" w:hAnsi="Times New Roman" w:cs="Times New Roman"/>
          <w:sz w:val="24"/>
          <w:szCs w:val="24"/>
        </w:rPr>
        <w:t xml:space="preserve"> provision for children subjected to the "likelihood of harm" due to domestic violence.</w:t>
      </w:r>
      <w:r w:rsidR="00943603">
        <w:rPr>
          <w:rFonts w:ascii="Times New Roman" w:hAnsi="Times New Roman" w:cs="Times New Roman"/>
          <w:sz w:val="24"/>
          <w:szCs w:val="24"/>
        </w:rPr>
        <w:t xml:space="preserve"> He would disregard the ruling as the Nazi system since its interpretation favors the existing constitutional laws. According to </w:t>
      </w:r>
      <w:r w:rsidR="00943603">
        <w:rPr>
          <w:rFonts w:ascii="Times New Roman" w:hAnsi="Times New Roman" w:cs="Times New Roman"/>
          <w:sz w:val="24"/>
          <w:szCs w:val="24"/>
        </w:rPr>
        <w:t>Dworkin</w:t>
      </w:r>
      <w:r w:rsidR="00943603">
        <w:rPr>
          <w:rFonts w:ascii="Times New Roman" w:hAnsi="Times New Roman" w:cs="Times New Roman"/>
          <w:sz w:val="24"/>
          <w:szCs w:val="24"/>
        </w:rPr>
        <w:t xml:space="preserve">, “…Nazi law was not really a law, or was a law in a degenerate sense, or was less than fully a law” (p. 207).  He was opined that the system lacked features that were crucial to justifying coercion. In this case, the defendant could not convince the judge that his actions were not directed towards the children, but the mother. </w:t>
      </w:r>
    </w:p>
    <w:p w:rsidR="00943603" w:rsidP="005E395E">
      <w:pPr>
        <w:spacing w:line="480" w:lineRule="auto"/>
        <w:rPr>
          <w:rFonts w:ascii="Times New Roman" w:hAnsi="Times New Roman" w:cs="Times New Roman"/>
          <w:sz w:val="24"/>
          <w:szCs w:val="24"/>
        </w:rPr>
      </w:pPr>
    </w:p>
    <w:p w:rsidR="00943603" w:rsidP="005E395E">
      <w:pPr>
        <w:spacing w:line="480" w:lineRule="auto"/>
        <w:rPr>
          <w:rFonts w:ascii="Times New Roman" w:hAnsi="Times New Roman" w:cs="Times New Roman"/>
          <w:sz w:val="24"/>
          <w:szCs w:val="24"/>
        </w:rPr>
      </w:pPr>
    </w:p>
    <w:p w:rsidR="00943603" w:rsidP="0094360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43603" w:rsidP="00943603">
      <w:pPr>
        <w:spacing w:line="480" w:lineRule="auto"/>
        <w:rPr>
          <w:rFonts w:ascii="Times New Roman" w:hAnsi="Times New Roman" w:cs="Times New Roman"/>
          <w:sz w:val="24"/>
          <w:szCs w:val="24"/>
        </w:rPr>
      </w:pPr>
      <w:r>
        <w:rPr>
          <w:rFonts w:ascii="Times New Roman" w:hAnsi="Times New Roman" w:cs="Times New Roman"/>
          <w:sz w:val="24"/>
          <w:szCs w:val="24"/>
        </w:rPr>
        <w:t>Court of Appeals of New York.</w:t>
      </w:r>
      <w:r>
        <w:rPr>
          <w:rFonts w:ascii="Times New Roman" w:hAnsi="Times New Roman" w:cs="Times New Roman"/>
          <w:sz w:val="24"/>
          <w:szCs w:val="24"/>
        </w:rPr>
        <w:t xml:space="preserve"> (2000). </w:t>
      </w:r>
      <w:r>
        <w:rPr>
          <w:rFonts w:ascii="Times New Roman" w:hAnsi="Times New Roman" w:cs="Times New Roman"/>
          <w:sz w:val="24"/>
          <w:szCs w:val="24"/>
        </w:rPr>
        <w:t>The</w:t>
      </w:r>
      <w:r>
        <w:rPr>
          <w:rFonts w:ascii="Times New Roman" w:hAnsi="Times New Roman" w:cs="Times New Roman"/>
          <w:sz w:val="24"/>
          <w:szCs w:val="24"/>
        </w:rPr>
        <w:t xml:space="preserve"> Peo</w:t>
      </w:r>
      <w:bookmarkStart w:id="0" w:name="_GoBack"/>
      <w:bookmarkEnd w:id="0"/>
      <w:r>
        <w:rPr>
          <w:rFonts w:ascii="Times New Roman" w:hAnsi="Times New Roman" w:cs="Times New Roman"/>
          <w:sz w:val="24"/>
          <w:szCs w:val="24"/>
        </w:rPr>
        <w:t>ple of the State of New York Respondent-</w:t>
      </w:r>
    </w:p>
    <w:p w:rsidR="00943603" w:rsidRPr="00943603" w:rsidP="00943603">
      <w:pPr>
        <w:spacing w:line="480" w:lineRule="auto"/>
        <w:ind w:left="1200" w:right="1200"/>
        <w:jc w:val="center"/>
        <w:rPr>
          <w:rFonts w:ascii="Times New Roman" w:hAnsi="Times New Roman" w:eastAsiaTheme="minorEastAsia" w:cs="Times New Roman"/>
          <w:b/>
          <w:bCs/>
          <w:sz w:val="20"/>
          <w:szCs w:val="20"/>
        </w:rPr>
      </w:pPr>
      <w:r>
        <w:rPr>
          <w:rFonts w:ascii="Times New Roman" w:hAnsi="Times New Roman" w:cs="Times New Roman"/>
          <w:sz w:val="24"/>
          <w:szCs w:val="24"/>
        </w:rPr>
        <w:tab/>
      </w:r>
      <w:r>
        <w:rPr>
          <w:rFonts w:ascii="Times New Roman" w:hAnsi="Times New Roman" w:cs="Times New Roman"/>
          <w:sz w:val="24"/>
          <w:szCs w:val="24"/>
        </w:rPr>
        <w:t>Appellant v. Theodore Johnson.</w:t>
      </w:r>
      <w:r>
        <w:rPr>
          <w:rFonts w:ascii="Times New Roman" w:hAnsi="Times New Roman" w:cs="Times New Roman"/>
          <w:sz w:val="24"/>
          <w:szCs w:val="24"/>
        </w:rPr>
        <w:t xml:space="preserve"> </w:t>
      </w:r>
      <w:r w:rsidRPr="00943603">
        <w:rPr>
          <w:rFonts w:ascii="Times New Roman" w:hAnsi="Times New Roman" w:eastAsiaTheme="minorEastAsia" w:cs="Times New Roman"/>
          <w:bCs/>
          <w:sz w:val="24"/>
          <w:szCs w:val="24"/>
        </w:rPr>
        <w:t>95 N.Y.2d 368; 740 N.E.2d 1075; 718 N.Y.S.2d 1; 2000 N.Y. LEXIS 2930</w:t>
      </w:r>
    </w:p>
    <w:p w:rsidR="00943603" w:rsidP="00943603">
      <w:pPr>
        <w:spacing w:line="480" w:lineRule="auto"/>
        <w:rPr>
          <w:rFonts w:ascii="Times New Roman" w:hAnsi="Times New Roman" w:cs="Times New Roman"/>
          <w:sz w:val="24"/>
          <w:szCs w:val="24"/>
        </w:rPr>
      </w:pPr>
    </w:p>
    <w:p w:rsidR="00561E69" w:rsidP="005E395E">
      <w:pPr>
        <w:spacing w:line="480" w:lineRule="auto"/>
        <w:rPr>
          <w:rFonts w:ascii="Times New Roman" w:hAnsi="Times New Roman" w:cs="Times New Roman"/>
          <w:sz w:val="24"/>
          <w:szCs w:val="24"/>
        </w:rPr>
      </w:pPr>
    </w:p>
    <w:p w:rsidR="00206926" w:rsidRPr="00206926" w:rsidP="00206926">
      <w:pPr>
        <w:rPr>
          <w:rFonts w:ascii="Times New Roman" w:hAnsi="Times New Roman" w:cs="Times New Roman"/>
          <w:sz w:val="24"/>
          <w:szCs w:val="24"/>
        </w:rPr>
      </w:pPr>
    </w:p>
    <w:sectPr w:rsidSect="0020692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6926" w:rsidRPr="00206926" w:rsidP="00206926">
    <w:pPr>
      <w:pStyle w:val="Header"/>
      <w:spacing w:line="480" w:lineRule="auto"/>
      <w:rPr>
        <w:rFonts w:ascii="Times New Roman" w:hAnsi="Times New Roman" w:cs="Times New Roman"/>
        <w:sz w:val="24"/>
        <w:szCs w:val="24"/>
      </w:rPr>
    </w:pPr>
    <w:r w:rsidRPr="00206926">
      <w:rPr>
        <w:rFonts w:ascii="Times New Roman" w:hAnsi="Times New Roman" w:cs="Times New Roman"/>
        <w:sz w:val="24"/>
        <w:szCs w:val="24"/>
      </w:rPr>
      <w:t xml:space="preserve">CASE ANALYSIS </w:t>
    </w:r>
    <w:sdt>
      <w:sdtPr>
        <w:rPr>
          <w:rFonts w:ascii="Times New Roman" w:hAnsi="Times New Roman" w:cs="Times New Roman"/>
          <w:sz w:val="24"/>
          <w:szCs w:val="24"/>
        </w:rPr>
        <w:id w:val="26527397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06926">
          <w:rPr>
            <w:rFonts w:ascii="Times New Roman" w:hAnsi="Times New Roman" w:cs="Times New Roman"/>
            <w:sz w:val="24"/>
            <w:szCs w:val="24"/>
          </w:rPr>
          <w:fldChar w:fldCharType="begin"/>
        </w:r>
        <w:r w:rsidRPr="00206926">
          <w:rPr>
            <w:rFonts w:ascii="Times New Roman" w:hAnsi="Times New Roman" w:cs="Times New Roman"/>
            <w:sz w:val="24"/>
            <w:szCs w:val="24"/>
          </w:rPr>
          <w:instrText xml:space="preserve"> PAGE   \* MERGEFORMAT </w:instrText>
        </w:r>
        <w:r w:rsidRPr="00206926">
          <w:rPr>
            <w:rFonts w:ascii="Times New Roman" w:hAnsi="Times New Roman" w:cs="Times New Roman"/>
            <w:sz w:val="24"/>
            <w:szCs w:val="24"/>
          </w:rPr>
          <w:fldChar w:fldCharType="separate"/>
        </w:r>
        <w:r w:rsidR="00943603">
          <w:rPr>
            <w:rFonts w:ascii="Times New Roman" w:hAnsi="Times New Roman" w:cs="Times New Roman"/>
            <w:noProof/>
            <w:sz w:val="24"/>
            <w:szCs w:val="24"/>
          </w:rPr>
          <w:t>3</w:t>
        </w:r>
        <w:r w:rsidRPr="0020692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6926" w:rsidRPr="00206926" w:rsidP="00206926">
    <w:pPr>
      <w:pStyle w:val="Header"/>
      <w:spacing w:line="480" w:lineRule="auto"/>
      <w:rPr>
        <w:rFonts w:ascii="Times New Roman" w:hAnsi="Times New Roman" w:cs="Times New Roman"/>
        <w:sz w:val="24"/>
        <w:szCs w:val="24"/>
      </w:rPr>
    </w:pPr>
    <w:r w:rsidRPr="00206926">
      <w:rPr>
        <w:rFonts w:ascii="Times New Roman" w:hAnsi="Times New Roman" w:cs="Times New Roman"/>
        <w:sz w:val="24"/>
        <w:szCs w:val="24"/>
      </w:rPr>
      <w:t xml:space="preserve">Running head:  CASE ANALYSIS </w:t>
    </w:r>
    <w:sdt>
      <w:sdtPr>
        <w:rPr>
          <w:rFonts w:ascii="Times New Roman" w:hAnsi="Times New Roman" w:cs="Times New Roman"/>
          <w:sz w:val="24"/>
          <w:szCs w:val="24"/>
        </w:rPr>
        <w:id w:val="26172993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06926">
          <w:rPr>
            <w:rFonts w:ascii="Times New Roman" w:hAnsi="Times New Roman" w:cs="Times New Roman"/>
            <w:sz w:val="24"/>
            <w:szCs w:val="24"/>
          </w:rPr>
          <w:fldChar w:fldCharType="begin"/>
        </w:r>
        <w:r w:rsidRPr="00206926">
          <w:rPr>
            <w:rFonts w:ascii="Times New Roman" w:hAnsi="Times New Roman" w:cs="Times New Roman"/>
            <w:sz w:val="24"/>
            <w:szCs w:val="24"/>
          </w:rPr>
          <w:instrText xml:space="preserve"> PAGE   \* MERGEFORMAT </w:instrText>
        </w:r>
        <w:r w:rsidRPr="00206926">
          <w:rPr>
            <w:rFonts w:ascii="Times New Roman" w:hAnsi="Times New Roman" w:cs="Times New Roman"/>
            <w:sz w:val="24"/>
            <w:szCs w:val="24"/>
          </w:rPr>
          <w:fldChar w:fldCharType="separate"/>
        </w:r>
        <w:r w:rsidR="005E395E">
          <w:rPr>
            <w:rFonts w:ascii="Times New Roman" w:hAnsi="Times New Roman" w:cs="Times New Roman"/>
            <w:noProof/>
            <w:sz w:val="24"/>
            <w:szCs w:val="24"/>
          </w:rPr>
          <w:t>1</w:t>
        </w:r>
        <w:r w:rsidRPr="0020692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26"/>
    <w:rsid w:val="001D2666"/>
    <w:rsid w:val="00206926"/>
    <w:rsid w:val="00561E69"/>
    <w:rsid w:val="005E395E"/>
    <w:rsid w:val="0070143F"/>
    <w:rsid w:val="0080412D"/>
    <w:rsid w:val="00943603"/>
    <w:rsid w:val="00BD4F4E"/>
    <w:rsid w:val="00F770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926"/>
  </w:style>
  <w:style w:type="paragraph" w:styleId="Footer">
    <w:name w:val="footer"/>
    <w:basedOn w:val="Normal"/>
    <w:link w:val="FooterChar"/>
    <w:uiPriority w:val="99"/>
    <w:unhideWhenUsed/>
    <w:rsid w:val="00206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2019-11-27T14:46:00Z</dcterms:created>
  <dcterms:modified xsi:type="dcterms:W3CDTF">2019-11-27T16:01:00Z</dcterms:modified>
</cp:coreProperties>
</file>